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1C1E61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1E61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1C1E61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1C1E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3F20" w:rsidRPr="00613F20">
        <w:rPr>
          <w:rFonts w:ascii="Calibri" w:hAnsi="Calibri" w:cs="Calibri"/>
          <w:b/>
          <w:sz w:val="22"/>
          <w:szCs w:val="22"/>
        </w:rPr>
        <w:t>124026/2009</w:t>
      </w:r>
      <w:r w:rsidR="00613F20">
        <w:rPr>
          <w:rFonts w:ascii="Calibri" w:hAnsi="Calibri" w:cs="Calibri"/>
          <w:b/>
          <w:sz w:val="22"/>
          <w:szCs w:val="22"/>
        </w:rPr>
        <w:t>.</w:t>
      </w:r>
    </w:p>
    <w:p w:rsidR="00783539" w:rsidRPr="001C1E61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F20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613F20">
        <w:rPr>
          <w:rFonts w:asciiTheme="minorHAnsi" w:hAnsiTheme="minorHAnsi" w:cstheme="minorHAnsi"/>
          <w:b/>
          <w:sz w:val="22"/>
          <w:szCs w:val="22"/>
        </w:rPr>
        <w:t>-</w:t>
      </w:r>
      <w:r w:rsidR="00613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3F20" w:rsidRPr="00613F20">
        <w:rPr>
          <w:rFonts w:ascii="Calibri" w:hAnsi="Calibri" w:cs="Calibri"/>
          <w:b/>
          <w:sz w:val="22"/>
          <w:szCs w:val="22"/>
        </w:rPr>
        <w:t>Dorval Madeiras LTDA</w:t>
      </w:r>
      <w:r w:rsidR="00613F20">
        <w:rPr>
          <w:rFonts w:ascii="Calibri" w:hAnsi="Calibri" w:cs="Calibri"/>
          <w:b/>
          <w:sz w:val="22"/>
          <w:szCs w:val="22"/>
        </w:rPr>
        <w:t>.</w:t>
      </w:r>
    </w:p>
    <w:p w:rsidR="00A14B97" w:rsidRPr="000F1862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0F1862">
        <w:rPr>
          <w:rFonts w:asciiTheme="minorHAnsi" w:hAnsiTheme="minorHAnsi" w:cstheme="minorHAnsi"/>
          <w:sz w:val="22"/>
          <w:szCs w:val="22"/>
        </w:rPr>
        <w:t xml:space="preserve">ção n. </w:t>
      </w:r>
      <w:r w:rsidR="00613F20" w:rsidRPr="00613F20">
        <w:rPr>
          <w:rFonts w:ascii="Calibri" w:hAnsi="Calibri" w:cs="Calibri"/>
          <w:sz w:val="22"/>
          <w:szCs w:val="22"/>
        </w:rPr>
        <w:t>107881, de 15/12/2008.</w:t>
      </w:r>
    </w:p>
    <w:p w:rsidR="00613F20" w:rsidRPr="00613F20" w:rsidRDefault="00613F20" w:rsidP="00C3072B">
      <w:pPr>
        <w:jc w:val="both"/>
        <w:rPr>
          <w:rFonts w:ascii="Calibri" w:hAnsi="Calibri" w:cs="Calibri"/>
          <w:sz w:val="22"/>
          <w:szCs w:val="22"/>
        </w:rPr>
      </w:pPr>
      <w:r w:rsidRPr="00613F20"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 w:rsidRPr="00613F20">
        <w:rPr>
          <w:rFonts w:ascii="Calibri" w:hAnsi="Calibri" w:cs="Calibri"/>
          <w:sz w:val="22"/>
          <w:szCs w:val="22"/>
        </w:rPr>
        <w:t>Ediberto</w:t>
      </w:r>
      <w:proofErr w:type="spellEnd"/>
      <w:r w:rsidRPr="00613F20">
        <w:rPr>
          <w:rFonts w:ascii="Calibri" w:hAnsi="Calibri" w:cs="Calibri"/>
          <w:sz w:val="22"/>
          <w:szCs w:val="22"/>
        </w:rPr>
        <w:t xml:space="preserve"> Gonçalves de Souza – FETIEMT.</w:t>
      </w:r>
    </w:p>
    <w:p w:rsidR="001C1E61" w:rsidRPr="00613F20" w:rsidRDefault="00613F20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="Calibri" w:hAnsi="Calibri" w:cs="Calibri"/>
          <w:sz w:val="22"/>
          <w:szCs w:val="22"/>
        </w:rPr>
        <w:t xml:space="preserve">Advogada – Eunice Elena </w:t>
      </w:r>
      <w:proofErr w:type="spellStart"/>
      <w:r w:rsidRPr="00613F20">
        <w:rPr>
          <w:rFonts w:ascii="Calibri" w:hAnsi="Calibri" w:cs="Calibri"/>
          <w:sz w:val="22"/>
          <w:szCs w:val="22"/>
        </w:rPr>
        <w:t>Ioris</w:t>
      </w:r>
      <w:proofErr w:type="spellEnd"/>
      <w:r w:rsidRPr="00613F20">
        <w:rPr>
          <w:rFonts w:ascii="Calibri" w:hAnsi="Calibri" w:cs="Calibri"/>
          <w:sz w:val="22"/>
          <w:szCs w:val="22"/>
        </w:rPr>
        <w:t xml:space="preserve"> da Rosa – OAB/MT 6.850.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sz w:val="22"/>
          <w:szCs w:val="22"/>
        </w:rPr>
        <w:t>1</w:t>
      </w:r>
      <w:r w:rsidR="00270D6D" w:rsidRPr="00613F20">
        <w:rPr>
          <w:rFonts w:asciiTheme="minorHAnsi" w:hAnsiTheme="minorHAnsi" w:cstheme="minorHAnsi"/>
          <w:sz w:val="22"/>
          <w:szCs w:val="22"/>
        </w:rPr>
        <w:t>ª J</w:t>
      </w:r>
      <w:r w:rsidR="0071491E" w:rsidRPr="00613F20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613F20" w:rsidRPr="00613F20" w:rsidRDefault="00613F20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0746E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325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2092" w:rsidRPr="00613F20" w:rsidRDefault="00613F20" w:rsidP="00613F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13F20">
        <w:rPr>
          <w:rFonts w:ascii="Calibri" w:hAnsi="Calibri" w:cs="Calibri"/>
          <w:sz w:val="22"/>
          <w:szCs w:val="22"/>
        </w:rPr>
        <w:t>Auto de Infração n° 107881, de 15/12/2008. Termo de Apreensão n° 108160, de 15/12/2008. Autos de Inspeções n° 125928,125929,125930, de 15/12/2008. Por armazenar 80,331 m³ de madeira e por comercializar 151,712 m³ de madeira sem autorização do órgão ambiental competente. Decisão Administrativa n. 2144/SPA/SEMA/2018, de 24/09/2018, pela homologação do Auto de Infração n. 107881, de 15/12/2008, arbitrando multa de R$ 208.838,70 (duzentos e oito mil oitocentos e trinta e oito reais e setenta centavos), com fulcro no artigo 47 parágrafos 1°, do Decreto Federal 6.514/08. Requer o recorrente que seja nos fatos e fundamentos discorridos, requer que seja dado provimento ao presente recurso para o fim de declarar a improcedência ou a nulidade do auto de infração e do termo de apreensão e depósito. Recurso provido.</w:t>
      </w:r>
    </w:p>
    <w:p w:rsidR="000C10B2" w:rsidRPr="00062092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67353" w:rsidRPr="00613F20" w:rsidRDefault="00270AA2" w:rsidP="00613F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613F20">
        <w:rPr>
          <w:rFonts w:asciiTheme="minorHAnsi" w:hAnsiTheme="minorHAnsi" w:cstheme="minorHAnsi"/>
          <w:color w:val="000000"/>
          <w:sz w:val="22"/>
          <w:szCs w:val="22"/>
        </w:rPr>
        <w:t>ª</w:t>
      </w:r>
      <w:r w:rsidR="00C427D2">
        <w:rPr>
          <w:rFonts w:asciiTheme="minorHAnsi" w:hAnsiTheme="minorHAnsi" w:cstheme="minorHAnsi"/>
          <w:color w:val="000000"/>
          <w:sz w:val="22"/>
          <w:szCs w:val="22"/>
        </w:rPr>
        <w:t xml:space="preserve"> Junta de Julgamento de Recursos</w:t>
      </w:r>
      <w:bookmarkStart w:id="0" w:name="_GoBack"/>
      <w:bookmarkEnd w:id="0"/>
      <w:r w:rsidR="00062092" w:rsidRPr="00613F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3F20" w:rsidRPr="00613F20">
        <w:rPr>
          <w:rFonts w:asciiTheme="minorHAnsi" w:hAnsiTheme="minorHAnsi" w:cstheme="minorHAnsi"/>
          <w:sz w:val="22"/>
          <w:szCs w:val="22"/>
        </w:rPr>
        <w:t>por unanimidade, acolher o voto do relator, reconhecendo a prescrição intercorrente, pois ocorreu lapso temporal que excedeu a 3 (três) anos entre o período do Termo de  Jun</w:t>
      </w:r>
      <w:r w:rsidR="00314673">
        <w:rPr>
          <w:rFonts w:asciiTheme="minorHAnsi" w:hAnsiTheme="minorHAnsi" w:cstheme="minorHAnsi"/>
          <w:sz w:val="22"/>
          <w:szCs w:val="22"/>
        </w:rPr>
        <w:t xml:space="preserve">tada do Aviso de Recebimento - </w:t>
      </w:r>
      <w:r w:rsidR="00613F20" w:rsidRPr="00613F20">
        <w:rPr>
          <w:rFonts w:asciiTheme="minorHAnsi" w:hAnsiTheme="minorHAnsi" w:cstheme="minorHAnsi"/>
          <w:sz w:val="22"/>
          <w:szCs w:val="22"/>
        </w:rPr>
        <w:t>A.R (fl. 97) em 27/09/2011 e Despacho da SEMA, (fl. 98) em 01/07/2016, ocorrendo a prescrição intercorrente com fulcro no Decreto federal n° 6.514/2008, artigo 21, §2°, na qual decidimos pelo arquivamento do Auto de Infração n° 107881, sem prejuízo da apuração da responsabilidade funcional decorrente da paralisação.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71701C" w:rsidRPr="00546B3D" w:rsidRDefault="0071701C" w:rsidP="0071701C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71701C" w:rsidRPr="00546B3D" w:rsidRDefault="0071701C" w:rsidP="0071701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71701C" w:rsidRPr="00546B3D" w:rsidRDefault="0071701C" w:rsidP="0071701C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71701C" w:rsidRPr="00546B3D" w:rsidRDefault="0071701C" w:rsidP="0071701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14673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1701C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27D2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784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B6E2-1E92-4066-BBEF-02A43C6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2021-10-27T17:19:00Z</dcterms:created>
  <dcterms:modified xsi:type="dcterms:W3CDTF">2021-10-27T19:36:00Z</dcterms:modified>
</cp:coreProperties>
</file>